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29BD">
      <w:pPr>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贵阳轨道交通2号线一期便民用房</w:t>
      </w:r>
    </w:p>
    <w:p w14:paraId="57CF5E31">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安全生产管理协议</w:t>
      </w:r>
    </w:p>
    <w:p w14:paraId="3FCEFFB0">
      <w:pPr>
        <w:jc w:val="left"/>
        <w:rPr>
          <w:rFonts w:asciiTheme="majorEastAsia" w:hAnsiTheme="majorEastAsia" w:eastAsiaTheme="majorEastAsia"/>
          <w:b/>
          <w:sz w:val="24"/>
          <w:szCs w:val="24"/>
        </w:rPr>
      </w:pPr>
    </w:p>
    <w:p w14:paraId="5FC4C2D3">
      <w:pPr>
        <w:jc w:val="left"/>
        <w:rPr>
          <w:rFonts w:asciiTheme="minorEastAsia" w:hAnsiTheme="minorEastAsia"/>
          <w:sz w:val="28"/>
          <w:szCs w:val="28"/>
        </w:rPr>
      </w:pPr>
      <w:r>
        <w:rPr>
          <w:rFonts w:hint="eastAsia" w:asciiTheme="minorEastAsia" w:hAnsiTheme="minorEastAsia"/>
          <w:sz w:val="28"/>
          <w:szCs w:val="28"/>
        </w:rPr>
        <w:t>甲方：贵阳宏源恒盛轨道交通二号线一期项目投资有限公司</w:t>
      </w:r>
    </w:p>
    <w:p w14:paraId="158F2E45">
      <w:pPr>
        <w:jc w:val="left"/>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乙方：</w:t>
      </w:r>
    </w:p>
    <w:p w14:paraId="5D6785ED">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为落实</w:t>
      </w:r>
      <w:r>
        <w:rPr>
          <w:rFonts w:asciiTheme="minorEastAsia" w:hAnsiTheme="minorEastAsia"/>
          <w:sz w:val="24"/>
          <w:szCs w:val="24"/>
        </w:rPr>
        <w:t>《中华人民共和国安全生产法》《中华人民共和国消防法》</w:t>
      </w:r>
      <w:r>
        <w:rPr>
          <w:rFonts w:hint="eastAsia" w:asciiTheme="minorEastAsia" w:hAnsiTheme="minorEastAsia"/>
          <w:sz w:val="24"/>
          <w:szCs w:val="24"/>
        </w:rPr>
        <w:t>等法律法规，强化安全生产管理，确保贵阳轨道交通2号线一期便民用房的装修、经营活动能满足轨道交通运营安全要求，根据国家和地方有关安全生产、消防安全、治安保卫等法律法规和轨道交通相关管理制度，经双方协商一致，特签订本协议。</w:t>
      </w:r>
    </w:p>
    <w:p w14:paraId="1C4FF6B7">
      <w:pPr>
        <w:spacing w:line="440" w:lineRule="exact"/>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一、项目概况</w:t>
      </w:r>
    </w:p>
    <w:p w14:paraId="57688C9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租赁合同名称：贵阳轨道交通2号线一期</w:t>
      </w:r>
      <w:r>
        <w:rPr>
          <w:rFonts w:hint="eastAsia" w:asciiTheme="minorEastAsia" w:hAnsiTheme="minorEastAsia"/>
          <w:color w:val="FF0000"/>
          <w:sz w:val="24"/>
          <w:szCs w:val="24"/>
          <w:lang w:val="en-US" w:eastAsia="zh-CN"/>
        </w:rPr>
        <w:t>xx站</w:t>
      </w:r>
      <w:r>
        <w:rPr>
          <w:rFonts w:hint="eastAsia" w:asciiTheme="minorEastAsia" w:hAnsiTheme="minorEastAsia"/>
          <w:sz w:val="24"/>
          <w:szCs w:val="24"/>
        </w:rPr>
        <w:t>便民用房使用权租赁</w:t>
      </w:r>
      <w:r>
        <w:rPr>
          <w:rFonts w:hint="eastAsia" w:asciiTheme="minorEastAsia" w:hAnsiTheme="minorEastAsia"/>
          <w:sz w:val="24"/>
          <w:szCs w:val="24"/>
          <w:lang w:val="en-US" w:eastAsia="zh-CN"/>
        </w:rPr>
        <w:t>合</w:t>
      </w:r>
      <w:r>
        <w:rPr>
          <w:rFonts w:hint="eastAsia" w:asciiTheme="minorEastAsia" w:hAnsiTheme="minorEastAsia"/>
          <w:sz w:val="24"/>
          <w:szCs w:val="24"/>
        </w:rPr>
        <w:t>同（以下简称：租赁合同）</w:t>
      </w:r>
    </w:p>
    <w:p w14:paraId="7F78C1BD">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租赁合同编号：</w:t>
      </w:r>
    </w:p>
    <w:p w14:paraId="7525D82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项目名称：贵阳轨道交通2号线一期</w:t>
      </w:r>
      <w:r>
        <w:rPr>
          <w:rFonts w:hint="eastAsia" w:asciiTheme="minorEastAsia" w:hAnsiTheme="minorEastAsia"/>
          <w:color w:val="FF0000"/>
          <w:sz w:val="24"/>
          <w:szCs w:val="24"/>
          <w:lang w:val="en-US" w:eastAsia="zh-CN"/>
        </w:rPr>
        <w:t>xx站</w:t>
      </w:r>
      <w:r>
        <w:rPr>
          <w:rFonts w:hint="eastAsia" w:asciiTheme="minorEastAsia" w:hAnsiTheme="minorEastAsia"/>
          <w:sz w:val="24"/>
          <w:szCs w:val="24"/>
        </w:rPr>
        <w:t>便民用房</w:t>
      </w:r>
    </w:p>
    <w:p w14:paraId="3EB276A6">
      <w:pPr>
        <w:spacing w:line="44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项目承租人：</w:t>
      </w:r>
    </w:p>
    <w:p w14:paraId="4E3AAC9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项目安全责任人：</w:t>
      </w:r>
    </w:p>
    <w:p w14:paraId="0D66CEAA">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项目安全责任人联系方式：</w:t>
      </w:r>
    </w:p>
    <w:p w14:paraId="6EB48DB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项目地点：贵阳轨道交通2号线一期</w:t>
      </w:r>
      <w:r>
        <w:rPr>
          <w:rFonts w:hint="eastAsia" w:asciiTheme="minorEastAsia" w:hAnsiTheme="minorEastAsia"/>
          <w:color w:val="FF0000"/>
          <w:sz w:val="24"/>
          <w:szCs w:val="24"/>
          <w:lang w:val="en-US" w:eastAsia="zh-CN"/>
        </w:rPr>
        <w:t>xx站</w:t>
      </w:r>
    </w:p>
    <w:p w14:paraId="13649DCC">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项目范围：贵阳轨道交通2号线一期</w:t>
      </w:r>
      <w:r>
        <w:rPr>
          <w:rFonts w:hint="eastAsia" w:asciiTheme="minorEastAsia" w:hAnsiTheme="minorEastAsia"/>
          <w:color w:val="FF0000"/>
          <w:sz w:val="24"/>
          <w:szCs w:val="24"/>
          <w:lang w:val="en-US" w:eastAsia="zh-CN"/>
        </w:rPr>
        <w:t>xx站</w:t>
      </w:r>
      <w:r>
        <w:rPr>
          <w:rFonts w:hint="eastAsia" w:asciiTheme="minorEastAsia" w:hAnsiTheme="minorEastAsia"/>
          <w:sz w:val="24"/>
          <w:szCs w:val="24"/>
        </w:rPr>
        <w:t>便民用房</w:t>
      </w:r>
    </w:p>
    <w:p w14:paraId="2CC496C2">
      <w:pPr>
        <w:spacing w:line="440" w:lineRule="exact"/>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二、责任时效</w:t>
      </w:r>
    </w:p>
    <w:p w14:paraId="6EA6CAED">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本安全管理协议的有效期：</w:t>
      </w:r>
    </w:p>
    <w:p w14:paraId="55DDC04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1.自甲方将贵阳轨道交通2号线一期</w:t>
      </w:r>
      <w:r>
        <w:rPr>
          <w:rFonts w:hint="eastAsia" w:asciiTheme="minorEastAsia" w:hAnsiTheme="minorEastAsia"/>
          <w:color w:val="FF0000"/>
          <w:sz w:val="24"/>
          <w:szCs w:val="24"/>
          <w:lang w:val="en-US" w:eastAsia="zh-CN"/>
        </w:rPr>
        <w:t>xx站</w:t>
      </w:r>
      <w:r>
        <w:rPr>
          <w:rFonts w:hint="eastAsia" w:asciiTheme="minorEastAsia" w:hAnsiTheme="minorEastAsia"/>
          <w:sz w:val="24"/>
          <w:szCs w:val="24"/>
        </w:rPr>
        <w:t>便民用房交付给乙方之日起至租赁合同终止之日止。</w:t>
      </w:r>
    </w:p>
    <w:p w14:paraId="7CCC2D9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2.如须乙方提前进场施工的，从乙方进场施工之日起至租赁合同终止之日止。</w:t>
      </w:r>
    </w:p>
    <w:p w14:paraId="4AC8C2D7">
      <w:pPr>
        <w:spacing w:line="440" w:lineRule="exact"/>
        <w:ind w:firstLine="482" w:firstLineChars="200"/>
        <w:outlineLvl w:val="0"/>
        <w:rPr>
          <w:rFonts w:asciiTheme="minorEastAsia" w:hAnsiTheme="minorEastAsia"/>
          <w:b/>
          <w:sz w:val="24"/>
          <w:szCs w:val="24"/>
        </w:rPr>
      </w:pPr>
      <w:r>
        <w:rPr>
          <w:rFonts w:hint="eastAsia" w:asciiTheme="minorEastAsia" w:hAnsiTheme="minorEastAsia"/>
          <w:b/>
          <w:sz w:val="24"/>
          <w:szCs w:val="24"/>
        </w:rPr>
        <w:t>三、责任区域</w:t>
      </w:r>
    </w:p>
    <w:p w14:paraId="57182B3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按租赁合同的约定，乙方承租、使用、管理的范围为乙方的安全生产、消防安全、治安保卫、食品卫生、信访维稳</w:t>
      </w:r>
      <w:r>
        <w:rPr>
          <w:rFonts w:hint="eastAsia" w:asciiTheme="minorEastAsia" w:hAnsiTheme="minorEastAsia"/>
          <w:sz w:val="24"/>
          <w:szCs w:val="24"/>
          <w:lang w:val="en-US" w:eastAsia="zh-CN"/>
        </w:rPr>
        <w:t>和信息发布安全</w:t>
      </w:r>
      <w:r>
        <w:rPr>
          <w:rFonts w:hint="eastAsia" w:asciiTheme="minorEastAsia" w:hAnsiTheme="minorEastAsia"/>
          <w:sz w:val="24"/>
          <w:szCs w:val="24"/>
        </w:rPr>
        <w:t>等安全责任区域，乙方为该责任区的安全责任人。</w:t>
      </w:r>
    </w:p>
    <w:p w14:paraId="1C9F0D19">
      <w:pPr>
        <w:spacing w:line="440" w:lineRule="exact"/>
        <w:ind w:firstLine="482" w:firstLineChars="200"/>
        <w:outlineLvl w:val="0"/>
        <w:rPr>
          <w:rFonts w:asciiTheme="minorEastAsia" w:hAnsiTheme="minorEastAsia"/>
          <w:b/>
          <w:sz w:val="24"/>
          <w:szCs w:val="24"/>
        </w:rPr>
      </w:pPr>
      <w:r>
        <w:rPr>
          <w:rFonts w:hint="eastAsia" w:asciiTheme="minorEastAsia" w:hAnsiTheme="minorEastAsia"/>
          <w:b/>
          <w:sz w:val="24"/>
          <w:szCs w:val="24"/>
        </w:rPr>
        <w:t>四、双方共同安全职责</w:t>
      </w:r>
    </w:p>
    <w:p w14:paraId="3C83D5AB">
      <w:pPr>
        <w:spacing w:line="4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必须认真遵守《中华人民共和国安全生产法》《中华人民共和国消防法》《</w:t>
      </w:r>
      <w:r>
        <w:rPr>
          <w:rFonts w:hint="eastAsia" w:asciiTheme="minorEastAsia" w:hAnsiTheme="minorEastAsia"/>
          <w:sz w:val="24"/>
          <w:szCs w:val="24"/>
        </w:rPr>
        <w:t>贵州省</w:t>
      </w:r>
      <w:r>
        <w:rPr>
          <w:rFonts w:asciiTheme="minorEastAsia" w:hAnsiTheme="minorEastAsia"/>
          <w:sz w:val="24"/>
          <w:szCs w:val="24"/>
        </w:rPr>
        <w:t>安全生产条例》</w:t>
      </w:r>
      <w:r>
        <w:rPr>
          <w:rFonts w:hint="eastAsia" w:asciiTheme="minorEastAsia" w:hAnsiTheme="minorEastAsia"/>
          <w:sz w:val="24"/>
          <w:szCs w:val="24"/>
        </w:rPr>
        <w:t>等文件要求，</w:t>
      </w:r>
      <w:r>
        <w:rPr>
          <w:rFonts w:asciiTheme="minorEastAsia" w:hAnsiTheme="minorEastAsia"/>
          <w:sz w:val="24"/>
          <w:szCs w:val="24"/>
        </w:rPr>
        <w:t>贯彻国家和上级有关安全生产、消防</w:t>
      </w:r>
      <w:r>
        <w:rPr>
          <w:rFonts w:hint="eastAsia" w:asciiTheme="minorEastAsia" w:hAnsiTheme="minorEastAsia"/>
          <w:sz w:val="24"/>
          <w:szCs w:val="24"/>
        </w:rPr>
        <w:t>安全、治安保卫、食品卫生、信访维稳</w:t>
      </w:r>
      <w:r>
        <w:rPr>
          <w:rFonts w:hint="eastAsia" w:asciiTheme="minorEastAsia" w:hAnsiTheme="minorEastAsia"/>
          <w:sz w:val="24"/>
          <w:szCs w:val="24"/>
          <w:lang w:val="en-US" w:eastAsia="zh-CN"/>
        </w:rPr>
        <w:t>和信息发布安全</w:t>
      </w:r>
      <w:r>
        <w:rPr>
          <w:rFonts w:hint="eastAsia" w:asciiTheme="minorEastAsia" w:hAnsiTheme="minorEastAsia"/>
          <w:sz w:val="24"/>
          <w:szCs w:val="24"/>
        </w:rPr>
        <w:t>等安全工作</w:t>
      </w:r>
      <w:r>
        <w:rPr>
          <w:rFonts w:asciiTheme="minorEastAsia" w:hAnsiTheme="minorEastAsia"/>
          <w:sz w:val="24"/>
          <w:szCs w:val="24"/>
        </w:rPr>
        <w:t>的方针、</w:t>
      </w:r>
      <w:r>
        <w:rPr>
          <w:rFonts w:hint="eastAsia" w:asciiTheme="minorEastAsia" w:hAnsiTheme="minorEastAsia"/>
          <w:sz w:val="24"/>
          <w:szCs w:val="24"/>
        </w:rPr>
        <w:t>政策，严格执行有关劳动保护的法律法规。</w:t>
      </w:r>
    </w:p>
    <w:p w14:paraId="74A436DB">
      <w:pPr>
        <w:spacing w:line="4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在各自的管理责任区域内做好安全管理</w:t>
      </w:r>
      <w:r>
        <w:rPr>
          <w:rFonts w:hint="eastAsia" w:asciiTheme="minorEastAsia" w:hAnsiTheme="minorEastAsia"/>
          <w:sz w:val="24"/>
          <w:szCs w:val="24"/>
        </w:rPr>
        <w:t>工作</w:t>
      </w:r>
      <w:r>
        <w:rPr>
          <w:rFonts w:asciiTheme="minorEastAsia" w:hAnsiTheme="minorEastAsia"/>
          <w:sz w:val="24"/>
          <w:szCs w:val="24"/>
        </w:rPr>
        <w:t>，及时消除生产安全事故隐患。</w:t>
      </w:r>
    </w:p>
    <w:p w14:paraId="3FA30798">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建立事故通报制度，及时、如实地报告</w:t>
      </w:r>
      <w:r>
        <w:rPr>
          <w:rFonts w:hint="eastAsia" w:asciiTheme="minorEastAsia" w:hAnsiTheme="minorEastAsia"/>
          <w:sz w:val="24"/>
          <w:szCs w:val="24"/>
        </w:rPr>
        <w:t>生产安全</w:t>
      </w:r>
      <w:r>
        <w:rPr>
          <w:rFonts w:asciiTheme="minorEastAsia" w:hAnsiTheme="minorEastAsia"/>
          <w:sz w:val="24"/>
          <w:szCs w:val="24"/>
        </w:rPr>
        <w:t>事故。</w:t>
      </w:r>
    </w:p>
    <w:p w14:paraId="7FCF539F">
      <w:pPr>
        <w:spacing w:line="440" w:lineRule="exact"/>
        <w:ind w:firstLine="480" w:firstLineChars="200"/>
        <w:rPr>
          <w:rFonts w:asciiTheme="minorEastAsia" w:hAnsiTheme="minorEastAsia"/>
          <w:b/>
          <w:sz w:val="24"/>
          <w:szCs w:val="24"/>
        </w:rPr>
      </w:pPr>
      <w:r>
        <w:rPr>
          <w:rFonts w:hint="eastAsia" w:asciiTheme="minorEastAsia" w:hAnsiTheme="minorEastAsia"/>
          <w:sz w:val="24"/>
          <w:szCs w:val="24"/>
        </w:rPr>
        <w:t>4.</w:t>
      </w:r>
      <w:r>
        <w:rPr>
          <w:rFonts w:asciiTheme="minorEastAsia" w:hAnsiTheme="minorEastAsia"/>
          <w:sz w:val="24"/>
          <w:szCs w:val="24"/>
        </w:rPr>
        <w:t>设</w:t>
      </w:r>
      <w:r>
        <w:rPr>
          <w:rFonts w:hint="eastAsia" w:asciiTheme="minorEastAsia" w:hAnsiTheme="minorEastAsia"/>
          <w:sz w:val="24"/>
          <w:szCs w:val="24"/>
        </w:rPr>
        <w:t>立突发事件</w:t>
      </w:r>
      <w:r>
        <w:rPr>
          <w:rFonts w:asciiTheme="minorEastAsia" w:hAnsiTheme="minorEastAsia"/>
          <w:sz w:val="24"/>
          <w:szCs w:val="24"/>
        </w:rPr>
        <w:t>联络机制，以便双方通报共享</w:t>
      </w:r>
      <w:r>
        <w:rPr>
          <w:rFonts w:hint="eastAsia" w:asciiTheme="minorEastAsia" w:hAnsiTheme="minorEastAsia"/>
          <w:sz w:val="24"/>
          <w:szCs w:val="24"/>
        </w:rPr>
        <w:t>安全事故、</w:t>
      </w:r>
      <w:r>
        <w:rPr>
          <w:rFonts w:asciiTheme="minorEastAsia" w:hAnsiTheme="minorEastAsia"/>
          <w:sz w:val="24"/>
          <w:szCs w:val="24"/>
        </w:rPr>
        <w:t>火灾</w:t>
      </w:r>
      <w:r>
        <w:rPr>
          <w:rFonts w:hint="eastAsia" w:asciiTheme="minorEastAsia" w:hAnsiTheme="minorEastAsia"/>
          <w:sz w:val="24"/>
          <w:szCs w:val="24"/>
        </w:rPr>
        <w:t>、食品安全、信访维稳等突发事件</w:t>
      </w:r>
      <w:r>
        <w:rPr>
          <w:rFonts w:asciiTheme="minorEastAsia" w:hAnsiTheme="minorEastAsia"/>
          <w:sz w:val="24"/>
          <w:szCs w:val="24"/>
        </w:rPr>
        <w:t>信息。</w:t>
      </w:r>
    </w:p>
    <w:p w14:paraId="65EE89D3">
      <w:pPr>
        <w:spacing w:line="440" w:lineRule="exact"/>
        <w:ind w:firstLine="482" w:firstLineChars="200"/>
        <w:outlineLvl w:val="0"/>
        <w:rPr>
          <w:rFonts w:asciiTheme="minorEastAsia" w:hAnsiTheme="minorEastAsia"/>
          <w:b/>
          <w:sz w:val="24"/>
          <w:szCs w:val="24"/>
        </w:rPr>
      </w:pPr>
      <w:r>
        <w:rPr>
          <w:rFonts w:hint="eastAsia" w:asciiTheme="minorEastAsia" w:hAnsiTheme="minorEastAsia"/>
          <w:b/>
          <w:sz w:val="24"/>
          <w:szCs w:val="24"/>
        </w:rPr>
        <w:t>五、甲方安全职责</w:t>
      </w:r>
    </w:p>
    <w:p w14:paraId="22EDAA3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甲方有权对乙方安全</w:t>
      </w:r>
      <w:r>
        <w:rPr>
          <w:rFonts w:hint="eastAsia" w:asciiTheme="minorEastAsia" w:hAnsiTheme="minorEastAsia"/>
          <w:sz w:val="24"/>
          <w:szCs w:val="24"/>
        </w:rPr>
        <w:t>生产</w:t>
      </w:r>
      <w:r>
        <w:rPr>
          <w:rFonts w:asciiTheme="minorEastAsia" w:hAnsiTheme="minorEastAsia"/>
          <w:sz w:val="24"/>
          <w:szCs w:val="24"/>
        </w:rPr>
        <w:t>、消防</w:t>
      </w:r>
      <w:r>
        <w:rPr>
          <w:rFonts w:hint="eastAsia" w:asciiTheme="minorEastAsia" w:hAnsiTheme="minorEastAsia"/>
          <w:sz w:val="24"/>
          <w:szCs w:val="24"/>
        </w:rPr>
        <w:t>安全等方面进行安全检查，对存在的问题和隐患，有权制止，并要求进行整改，并可对乙方进行处罚。对不按要求整改或拒不接受处罚的，甲方有权责令乙方停业整顿（停业期间甲方有权停水、停电，停水、停电所造成的一切损失及后果由乙方自行承担。）并按照租赁合同约定追究乙方的违约责任，并向有关部门报告；凡发生事故的，甲方可按其造成的后果及影响，追究乙方的违约责任。</w:t>
      </w:r>
    </w:p>
    <w:p w14:paraId="5B92F58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为维护地铁运营环境及地铁运营安全，甲方有权对乙方影响运营安全和不符合运营管理要求的行为进行处罚，对不按要求整改或拒不接受处罚的，甲方有权责令乙方停业整顿（停业期间甲方有权停水、停电，因此所造成的一切损失及后果由乙方自行承担），按照租赁合同约定追究乙方的违约责任；凡发生事故的，甲方可按其造成的后果及影响，追究乙方的违约责任，并向相关部门报告。</w:t>
      </w:r>
    </w:p>
    <w:p w14:paraId="31964D1A">
      <w:pPr>
        <w:spacing w:line="440" w:lineRule="exact"/>
        <w:ind w:firstLine="482" w:firstLineChars="200"/>
        <w:outlineLvl w:val="0"/>
        <w:rPr>
          <w:rFonts w:asciiTheme="minorEastAsia" w:hAnsiTheme="minorEastAsia"/>
          <w:b/>
          <w:sz w:val="24"/>
          <w:szCs w:val="24"/>
        </w:rPr>
      </w:pPr>
      <w:r>
        <w:rPr>
          <w:rFonts w:hint="eastAsia" w:asciiTheme="minorEastAsia" w:hAnsiTheme="minorEastAsia"/>
          <w:b/>
          <w:sz w:val="24"/>
          <w:szCs w:val="24"/>
        </w:rPr>
        <w:t>六、乙方安全职责</w:t>
      </w:r>
    </w:p>
    <w:p w14:paraId="7F9ACB04">
      <w:pPr>
        <w:spacing w:line="440" w:lineRule="exact"/>
        <w:ind w:firstLine="480" w:firstLineChars="200"/>
        <w:rPr>
          <w:rFonts w:eastAsia="仿宋_GB2312"/>
        </w:rPr>
      </w:pPr>
      <w:r>
        <w:rPr>
          <w:rFonts w:hint="eastAsia" w:asciiTheme="minorEastAsia" w:hAnsiTheme="minorEastAsia"/>
          <w:sz w:val="24"/>
          <w:szCs w:val="24"/>
        </w:rPr>
        <w:t>1.</w:t>
      </w:r>
      <w:r>
        <w:rPr>
          <w:rFonts w:asciiTheme="minorEastAsia" w:hAnsiTheme="minorEastAsia"/>
          <w:sz w:val="24"/>
          <w:szCs w:val="24"/>
        </w:rPr>
        <w:t>乙方</w:t>
      </w:r>
      <w:r>
        <w:rPr>
          <w:rFonts w:hint="eastAsia" w:asciiTheme="minorEastAsia" w:hAnsiTheme="minorEastAsia"/>
          <w:sz w:val="24"/>
          <w:szCs w:val="24"/>
        </w:rPr>
        <w:t>应当具备《</w:t>
      </w:r>
      <w:r>
        <w:rPr>
          <w:rFonts w:hint="eastAsia" w:ascii="宋体" w:hAnsi="宋体" w:eastAsia="宋体" w:cs="宋体"/>
          <w:sz w:val="24"/>
          <w:szCs w:val="24"/>
        </w:rPr>
        <w:t>中华人民共和国安全生产法</w:t>
      </w:r>
      <w:r>
        <w:rPr>
          <w:rFonts w:hint="eastAsia" w:asciiTheme="minorEastAsia" w:hAnsiTheme="minorEastAsia"/>
          <w:sz w:val="24"/>
          <w:szCs w:val="24"/>
        </w:rPr>
        <w:t>》和有关法律、行政法规和国家标准或者行业标准规定的安全生产条件。</w:t>
      </w:r>
    </w:p>
    <w:p w14:paraId="1DA40B8B">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2.乙方应严格遵守</w:t>
      </w:r>
      <w:r>
        <w:rPr>
          <w:rFonts w:hint="eastAsia" w:ascii="宋体" w:hAnsi="宋体" w:eastAsia="宋体" w:cs="宋体"/>
          <w:sz w:val="24"/>
          <w:szCs w:val="24"/>
        </w:rPr>
        <w:t>《中华人民共和国安全生产法》</w:t>
      </w:r>
      <w:r>
        <w:rPr>
          <w:rFonts w:asciiTheme="minorEastAsia" w:hAnsiTheme="minorEastAsia"/>
          <w:sz w:val="24"/>
          <w:szCs w:val="24"/>
        </w:rPr>
        <w:t>《中华人民共和国消防法》</w:t>
      </w:r>
      <w:r>
        <w:rPr>
          <w:rFonts w:hint="eastAsia" w:asciiTheme="minorEastAsia" w:hAnsiTheme="minorEastAsia"/>
          <w:sz w:val="24"/>
          <w:szCs w:val="24"/>
        </w:rPr>
        <w:t>《中华人民共和国食品安全法》</w:t>
      </w:r>
      <w:r>
        <w:rPr>
          <w:rFonts w:hint="eastAsia" w:ascii="宋体" w:hAnsi="宋体" w:eastAsia="宋体" w:cs="宋体"/>
          <w:sz w:val="24"/>
          <w:szCs w:val="24"/>
        </w:rPr>
        <w:t>《</w:t>
      </w:r>
      <w:r>
        <w:fldChar w:fldCharType="begin"/>
      </w:r>
      <w:r>
        <w:instrText xml:space="preserve"> HYPERLINK "https://baike.baidu.com/item/%E4%B8%AD%E5%8D%8E%E4%BA%BA%E6%B0%91%E5%85%B1%E5%92%8C%E5%9B%BD%E6%B2%BB%E5%AE%89%E7%AE%A1%E7%90%86%E5%A4%84%E7%BD%9A%E6%B3%95/0?fromModule=lemma_inlink" \t "https://baike.baidu.com/item/%E4%B8%AD%E5%8D%8E%E4%BA%BA%E6%B0%91%E5%85%B1%E5%92%8C%E5%9B%BD%E6%B2%BB%E5%AE%89%E7%AE%A1%E7%90%86%E5%A4%84%E7%BD%9A%E6%9D%A1%E4%BE%8B/_blank" </w:instrText>
      </w:r>
      <w:r>
        <w:fldChar w:fldCharType="separate"/>
      </w:r>
      <w:r>
        <w:rPr>
          <w:rFonts w:hint="eastAsia" w:ascii="宋体" w:hAnsi="宋体" w:eastAsia="宋体" w:cs="宋体"/>
          <w:sz w:val="24"/>
          <w:szCs w:val="24"/>
          <w:shd w:val="clear" w:color="auto" w:fill="FFFFFF"/>
        </w:rPr>
        <w:t>中华人民共和国治安管理处罚法</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rPr>
        <w:t>》</w:t>
      </w:r>
      <w:r>
        <w:rPr>
          <w:rFonts w:hint="eastAsia" w:asciiTheme="minorEastAsia" w:hAnsiTheme="minorEastAsia"/>
          <w:sz w:val="24"/>
          <w:szCs w:val="24"/>
        </w:rPr>
        <w:t>等</w:t>
      </w:r>
      <w:r>
        <w:rPr>
          <w:rFonts w:hint="eastAsia" w:ascii="宋体" w:hAnsi="宋体" w:eastAsia="宋体" w:cs="宋体"/>
          <w:sz w:val="24"/>
          <w:szCs w:val="24"/>
        </w:rPr>
        <w:t>国家和地方相关法律、法规和标准</w:t>
      </w:r>
      <w:r>
        <w:rPr>
          <w:rFonts w:hint="eastAsia" w:asciiTheme="minorEastAsia" w:hAnsiTheme="minorEastAsia"/>
          <w:sz w:val="24"/>
          <w:szCs w:val="24"/>
        </w:rPr>
        <w:t>以及轨道交通经营（运营）单位各项安全生产管理制度，并在安全管理工作方面接受甲方的监督。</w:t>
      </w:r>
    </w:p>
    <w:p w14:paraId="0BA56A1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根据相关法律法规，建立健全并落实安全生产责任制度、各项安全生产规章制度和操作规程，成立安全生产和消防安全管理机构，明确专职或兼职安全生产和消防安全管理人员。相关人员应熟知国家安全生产法律法规，并具有生产经营活动的安全生产作业知识、食品安全知识和安全生产管理能力。从业人员资格条件应符合国家相关规定，并取得行业主管及相关部门颁发的从业资格证书，持证上岗。</w:t>
      </w:r>
    </w:p>
    <w:p w14:paraId="329FE11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4.应对从业人员进行安全生产、消防安全、食品安全、治安保卫等安全教育、培训和应急演练，并建立教育、培训和应急演练档案。</w:t>
      </w:r>
    </w:p>
    <w:p w14:paraId="1C4E3A3C">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5.安全生产管理人员须对安全生产状况开展经常性检查，对检查中发现的问题立即处理，相关检查和整改情况须如实记录在案。</w:t>
      </w:r>
    </w:p>
    <w:p w14:paraId="10989DB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6.乙方对甲方和地铁运营单位发出的安全生产、消防安全、食品安全、治安保卫、环境卫生等安全工作的相关要求须配合完成。</w:t>
      </w:r>
    </w:p>
    <w:p w14:paraId="1812AEF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结合所承租项目的实际情况，配齐应急设施设备，并参加地铁经营单位组织的演练。严格执行安全联络机制和事故报送制度，通报安全情况和共享安全信息。发生突发事件立即组织进行紧急处置避免事态扩大，并按有关法律、法规和强制性标准的要求上报，并通知甲方；甲方有权向有关政府部门报告，但不替代乙方的上报。</w:t>
      </w:r>
    </w:p>
    <w:p w14:paraId="3BB487D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8.乙方须自行及时办理经营所需的工商登记、税务登记、食品卫生等经营所需的证照或手续，严格执行政府职能部门有关商品质量、物价、安全、消防、卫生、环保等方面的政策、法律和法规。</w:t>
      </w:r>
    </w:p>
    <w:p w14:paraId="0FD6AB9E">
      <w:pPr>
        <w:spacing w:line="440" w:lineRule="exact"/>
        <w:ind w:firstLine="480" w:firstLineChars="200"/>
      </w:pPr>
      <w:r>
        <w:rPr>
          <w:rFonts w:hint="eastAsia" w:asciiTheme="minorEastAsia" w:hAnsiTheme="minorEastAsia"/>
          <w:sz w:val="24"/>
          <w:szCs w:val="24"/>
        </w:rPr>
        <w:t>9.</w:t>
      </w:r>
      <w:r>
        <w:rPr>
          <w:rFonts w:hint="eastAsia" w:cs="仿宋_GB2312" w:asciiTheme="minorEastAsia" w:hAnsiTheme="minorEastAsia"/>
          <w:sz w:val="24"/>
          <w:szCs w:val="24"/>
        </w:rPr>
        <w:t>贯彻</w:t>
      </w:r>
      <w:r>
        <w:rPr>
          <w:rFonts w:hint="eastAsia" w:asciiTheme="minorEastAsia" w:hAnsiTheme="minorEastAsia"/>
          <w:sz w:val="24"/>
          <w:szCs w:val="24"/>
        </w:rPr>
        <w:t>落实</w:t>
      </w:r>
      <w:r>
        <w:rPr>
          <w:rFonts w:hint="eastAsia" w:cs="仿宋_GB2312" w:asciiTheme="minorEastAsia" w:hAnsiTheme="minorEastAsia"/>
          <w:sz w:val="24"/>
          <w:szCs w:val="24"/>
        </w:rPr>
        <w:t>国家、省委省政府、市委市政府及交运集团的信访维稳政策，</w:t>
      </w:r>
      <w:r>
        <w:rPr>
          <w:rFonts w:hint="eastAsia" w:asciiTheme="minorEastAsia" w:hAnsiTheme="minorEastAsia"/>
          <w:sz w:val="24"/>
          <w:szCs w:val="24"/>
        </w:rPr>
        <w:t>及时</w:t>
      </w:r>
      <w:r>
        <w:rPr>
          <w:rFonts w:hint="eastAsia" w:cs="仿宋_GB2312" w:asciiTheme="minorEastAsia" w:hAnsiTheme="minorEastAsia"/>
          <w:sz w:val="24"/>
          <w:szCs w:val="24"/>
        </w:rPr>
        <w:t>办理各类交办件及市民群众各渠道投诉及意见建议</w:t>
      </w:r>
      <w:r>
        <w:rPr>
          <w:rFonts w:hint="eastAsia" w:asciiTheme="minorEastAsia" w:hAnsiTheme="minorEastAsia"/>
          <w:sz w:val="24"/>
          <w:szCs w:val="24"/>
        </w:rPr>
        <w:t>。</w:t>
      </w:r>
    </w:p>
    <w:p w14:paraId="003127A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10.乙方是租赁标的的安全生产责任主体，负有下列安全责任：</w:t>
      </w:r>
    </w:p>
    <w:p w14:paraId="0E90C5CD">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6</w:t>
      </w:r>
      <w:r>
        <w:rPr>
          <w:rFonts w:asciiTheme="minorEastAsia" w:hAnsiTheme="minorEastAsia"/>
          <w:b/>
          <w:sz w:val="24"/>
          <w:szCs w:val="24"/>
        </w:rPr>
        <w:t>.1施工</w:t>
      </w:r>
      <w:r>
        <w:rPr>
          <w:rFonts w:hint="eastAsia" w:asciiTheme="minorEastAsia" w:hAnsiTheme="minorEastAsia"/>
          <w:b/>
          <w:sz w:val="24"/>
          <w:szCs w:val="24"/>
        </w:rPr>
        <w:t>（装修）</w:t>
      </w:r>
      <w:r>
        <w:rPr>
          <w:rFonts w:asciiTheme="minorEastAsia" w:hAnsiTheme="minorEastAsia"/>
          <w:b/>
          <w:sz w:val="24"/>
          <w:szCs w:val="24"/>
        </w:rPr>
        <w:t>安全</w:t>
      </w:r>
    </w:p>
    <w:p w14:paraId="63D0FBC2">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6.1.1乙方对便民用房装修、改造工程承担全面安全管理责任。</w:t>
      </w:r>
    </w:p>
    <w:p w14:paraId="1FD06A69">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6.1.2乙方承租的项目发生安全事故，导致人员伤亡时，由乙方承担事故责任和经济赔偿责任等法律责任。事故的善后处理均由乙方独自承担，因此给甲方造成的经济损失由乙方全部承担。乙方应当积极妥善的处理安全事故。如因乙方处理不当导致受害人向甲方索赔或投诉的，为避免扩大影响，甲方有权先行向受害人赔付。甲方先行向受害人赔付后，有权要求乙方向甲方双倍偿还甲方所支付的赔付款。</w:t>
      </w:r>
    </w:p>
    <w:p w14:paraId="6EB9FA38">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6.1.3施工期间，乙方应指派专职安全员作为现场安全管理人员，按照国家有关施工现场安全生产的法规和管理制度，建立健全安全生产体系、应急管理体系。严格执行国家施工现场用电及机械设备使用有关技术规范和安全操作规程。</w:t>
      </w:r>
    </w:p>
    <w:p w14:paraId="578402F2">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6.1.4认真执行国家、行业和贵州省、贵阳市关于安全生产的规范、标准、有关规定，做好施工现场实体防护，并在施工现场的危险部位设置符合国家标准的明显的安全警示标志。</w:t>
      </w:r>
    </w:p>
    <w:p w14:paraId="455E509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6.1.5根据工作需要开展安全教育培训、安全技术交底，不得安排未经安全生产教育培训或考试不合格的施工人员上岗作业；特殊作业必须持证上岗。</w:t>
      </w:r>
    </w:p>
    <w:p w14:paraId="31D79E28">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6.1.6乙方在甲方所属地铁车站、车辆段、停车场、控制中心等区域内施工作业应征得甲方同意并按甲方有关规定执行。</w:t>
      </w:r>
    </w:p>
    <w:p w14:paraId="300F8AA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6.1.7因乙方责任造成甲方设备设施损坏、影响使用性能的，乙方须在甲方规定的时间内按原规格标准恢复，并由乙方赔偿甲方受到的经济损失。</w:t>
      </w:r>
    </w:p>
    <w:p w14:paraId="1D3D9EA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6.1.8发生以下情况的，乙方必须停工整顿，因停工造成的损失及违约责任由乙方承担：</w:t>
      </w:r>
    </w:p>
    <w:p w14:paraId="321DCC4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（1）人身伤亡事故；</w:t>
      </w:r>
    </w:p>
    <w:p w14:paraId="328B951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（2）发生施工机械、生产主设备严重损坏事故；</w:t>
      </w:r>
    </w:p>
    <w:p w14:paraId="2F733ACA">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（3）引发火灾、水灾事故；</w:t>
      </w:r>
    </w:p>
    <w:p w14:paraId="5F0E0318">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（4）发生违章作业、冒险作业不听劝告的；</w:t>
      </w:r>
    </w:p>
    <w:p w14:paraId="395A67C0">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（5）施工现场脏、乱、差，不能满足安全和文明施工要求的；</w:t>
      </w:r>
    </w:p>
    <w:p w14:paraId="2EDD400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（6）施工过程中，因违反工程相关规定的，被相关管理机关勒令停工的。 </w:t>
      </w:r>
    </w:p>
    <w:p w14:paraId="6839ABB5">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6</w:t>
      </w:r>
      <w:r>
        <w:rPr>
          <w:rFonts w:asciiTheme="minorEastAsia" w:hAnsiTheme="minorEastAsia"/>
          <w:b/>
          <w:sz w:val="24"/>
          <w:szCs w:val="24"/>
        </w:rPr>
        <w:t>.2日常经营管理</w:t>
      </w:r>
    </w:p>
    <w:p w14:paraId="5C6DF11D">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6.2.1乙方确保从事的生产经营活动，在国家安全生产相关法律法规和条例规章规范的范围内进行。</w:t>
      </w:r>
    </w:p>
    <w:p w14:paraId="6AEFD6D0">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6.2.2乙方确保消防通道及安全出口的畅通，不擅自动用消防设施设备，不在配电箱、消防栓、灭火器前面堆放物品阻塞消防设备设施的取用。</w:t>
      </w:r>
    </w:p>
    <w:p w14:paraId="058256D4">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6.2.3乙方经营活动应遵守政府相关法律法规及各项规定，严禁从事下列经营活动：</w:t>
      </w:r>
    </w:p>
    <w:p w14:paraId="40CA42EB">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（1）销售假冒伪劣、“三无”、侵犯他人权利的商品；</w:t>
      </w:r>
    </w:p>
    <w:p w14:paraId="37F0785B">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（2）投机诈骗，走私贩私；</w:t>
      </w:r>
    </w:p>
    <w:p w14:paraId="58D66B4C">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（3）欺行霸市，哄抬物价，强买强卖；</w:t>
      </w:r>
    </w:p>
    <w:p w14:paraId="4B9141B0">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（4）掺杂使假，短斤缺两；</w:t>
      </w:r>
    </w:p>
    <w:p w14:paraId="7199E81D">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（5）出售法律法规禁止出售的食品；</w:t>
      </w:r>
    </w:p>
    <w:p w14:paraId="0FCDA539">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（6）出售反动、暴力、荒诞、淫秽、有碍社会风化的书刊、图片、音像制品等；</w:t>
      </w:r>
    </w:p>
    <w:p w14:paraId="1509B5F6">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（7）打卦、测字、算命及其他封建迷信活动；</w:t>
      </w:r>
    </w:p>
    <w:p w14:paraId="58FA810A">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（8）出售或存放任何危险性、易燃易爆性、腐蚀性、毒性物品和所有管制物品。</w:t>
      </w:r>
    </w:p>
    <w:p w14:paraId="040B2734">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6.2.4严格遵守国家物价政策，合理定价、买卖公平，销售的商品须明码标价，做到一货一价，标价无误。</w:t>
      </w:r>
    </w:p>
    <w:p w14:paraId="2DE84372">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6.2.5乙方应确保经营场所空气清新，及时清除或妥善处理散发异味、腥味等的物品，禁止在地铁车站内及地铁车站外随意堆积或倾倒垃圾，禁止在地铁结构离璧排水沟内排放污水。</w:t>
      </w:r>
    </w:p>
    <w:p w14:paraId="756B926E">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6.2.6乙方从事食品、餐饮类经营活动应符合卫生要求，接受食品卫生等部门的监督和管理。</w:t>
      </w:r>
    </w:p>
    <w:p w14:paraId="33C43ED0">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6.2.7在经营过程中，应遵守有关环境保护的法律，履行环境保护的义务，妥善处理经营服务过程中产生的废弃物。</w:t>
      </w:r>
    </w:p>
    <w:p w14:paraId="433BDBF2">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6.2.8 落实责任区域内</w:t>
      </w:r>
      <w:r>
        <w:rPr>
          <w:rFonts w:hint="eastAsia" w:asciiTheme="minorEastAsia" w:hAnsiTheme="minorEastAsia" w:eastAsiaTheme="minorEastAsia" w:cstheme="minorBidi"/>
          <w:sz w:val="24"/>
          <w:szCs w:val="24"/>
        </w:rPr>
        <w:t>电子显示屏的</w:t>
      </w:r>
      <w:r>
        <w:rPr>
          <w:rFonts w:hint="eastAsia" w:asciiTheme="minorEastAsia" w:hAnsiTheme="minorEastAsia"/>
          <w:sz w:val="24"/>
          <w:szCs w:val="24"/>
        </w:rPr>
        <w:t>安全管理</w:t>
      </w:r>
      <w:r>
        <w:rPr>
          <w:rFonts w:hint="eastAsia" w:asciiTheme="minorEastAsia" w:hAnsiTheme="minorEastAsia" w:eastAsiaTheme="minorEastAsia" w:cstheme="minorBidi"/>
          <w:sz w:val="24"/>
          <w:szCs w:val="24"/>
        </w:rPr>
        <w:t>，确保电子显示屏及其控制系统安全使用，筑牢网络安全防线，严防黑客入侵</w:t>
      </w:r>
      <w:r>
        <w:rPr>
          <w:rFonts w:hint="eastAsia" w:asciiTheme="minorEastAsia" w:hAnsiTheme="minorEastAsia"/>
          <w:sz w:val="24"/>
          <w:szCs w:val="24"/>
        </w:rPr>
        <w:t>。</w:t>
      </w:r>
    </w:p>
    <w:p w14:paraId="07B17F8E">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6</w:t>
      </w:r>
      <w:r>
        <w:rPr>
          <w:rFonts w:asciiTheme="minorEastAsia" w:hAnsiTheme="minorEastAsia"/>
          <w:b/>
          <w:sz w:val="24"/>
          <w:szCs w:val="24"/>
        </w:rPr>
        <w:t>.3消防</w:t>
      </w:r>
      <w:r>
        <w:rPr>
          <w:rFonts w:hint="eastAsia" w:asciiTheme="minorEastAsia" w:hAnsiTheme="minorEastAsia"/>
          <w:b/>
          <w:sz w:val="24"/>
          <w:szCs w:val="24"/>
        </w:rPr>
        <w:t>安全和治安保卫</w:t>
      </w:r>
    </w:p>
    <w:p w14:paraId="2D82EBB8">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6.3.1建立施工及日常运营期间消防安全责任制度，确定消防安全责任人，制定各项消防安全管理制度和操作规程，按有关法律法规和强制性标准要求设置消防通道、消防水源、配备消防设施和灭火器材。</w:t>
      </w:r>
    </w:p>
    <w:p w14:paraId="554601A6">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6.3.2乙方应取得相关行政许可后方可开展经营活动。</w:t>
      </w:r>
    </w:p>
    <w:p w14:paraId="0166929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6.3.3乙方必须接受政府相关部门和甲方的消防及安全管理的监督、指导、检查，如有合法合规整改要求，必须认真执行。乙方必须参加应急管理部门、公安主管部门和相关管理单位及甲方组织的相关知识学习、演习及宣传活动。并按照国家相关规定组织相关知识学习、演习及宣传。</w:t>
      </w:r>
    </w:p>
    <w:p w14:paraId="3EE85CD0">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6.3.4乙方如违反国家、省、市的消防安全法规导致被有关部门处罚，或者不遵守甲方制定的合法合规消防安全规定的，乙方必须立即按要求整改，直至达到符合规范要求标准。乙方拒不整改或整改后仍无法达到合法合规规范的，甲方可单方面解除与乙方签订的原合同，并要求乙方承担违约责任；承租范围内发生消防安全事故的，乙方承担全部责任。</w:t>
      </w:r>
    </w:p>
    <w:p w14:paraId="059D2F0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6.3.5甲方及政府相关部门相关人员出示证件后有权进入乙方或其经营户经营场地，对治安保卫、消防安全、食品卫生及商品等进行检查，乙方或其经营户有责任配合工商、税务、公安、卫生、应急管理等部门依法处理各种违法违纪事件。</w:t>
      </w:r>
    </w:p>
    <w:p w14:paraId="3B315C89">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6.3.6乙方自行做好管理区域的治安保卫工作并服从公安部门的治安管理，发生治安、火灾等突发案件或发现可疑对象，乙方应及时报告公安部门、甲方和地铁运营单位。</w:t>
      </w:r>
    </w:p>
    <w:p w14:paraId="19E38B85">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6</w:t>
      </w:r>
      <w:r>
        <w:rPr>
          <w:rFonts w:asciiTheme="minorEastAsia" w:hAnsiTheme="minorEastAsia"/>
          <w:b/>
          <w:sz w:val="24"/>
          <w:szCs w:val="24"/>
        </w:rPr>
        <w:t>.4 防汛安全</w:t>
      </w:r>
    </w:p>
    <w:p w14:paraId="208162C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配备必要的防汛应急物资，并按要求参加防汛应急演练，确保在突发汛情的情况下，能及时、有效、正确地处理汛情事件。</w:t>
      </w:r>
    </w:p>
    <w:p w14:paraId="1F016B32">
      <w:pPr>
        <w:spacing w:line="440" w:lineRule="exact"/>
        <w:ind w:firstLine="482" w:firstLineChars="200"/>
        <w:outlineLvl w:val="0"/>
        <w:rPr>
          <w:rFonts w:asciiTheme="minorEastAsia" w:hAnsiTheme="minorEastAsia"/>
          <w:b/>
          <w:sz w:val="24"/>
          <w:szCs w:val="24"/>
        </w:rPr>
      </w:pPr>
      <w:r>
        <w:rPr>
          <w:rFonts w:hint="eastAsia" w:asciiTheme="minorEastAsia" w:hAnsiTheme="minorEastAsia"/>
          <w:b/>
          <w:sz w:val="24"/>
          <w:szCs w:val="24"/>
        </w:rPr>
        <w:t>七、违约责任</w:t>
      </w:r>
      <w:r>
        <w:rPr>
          <w:rFonts w:asciiTheme="minorEastAsia" w:hAnsiTheme="minorEastAsia"/>
          <w:b/>
          <w:sz w:val="24"/>
          <w:szCs w:val="24"/>
        </w:rPr>
        <w:t>:</w:t>
      </w:r>
    </w:p>
    <w:p w14:paraId="63745CCC">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乙方如有违反本协议或租赁合同及甲方制定的相关管理规定，甲方有权向乙方收取违约金，如拒不缴纳的可直接从乙方缴纳的履约保证金中扣除乙方应付的赔偿及违约金等费用，乙方须在七个工作日内补足履约保证金。如乙方的原合同的履约担保方式为履约保函的，乙方须另行向甲方支付相应的违约金。另外，乙方若违反法律法规，乙方应承担相应法律责任。</w:t>
      </w:r>
    </w:p>
    <w:p w14:paraId="2C9BFAD6">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1.1在乙方承租范围内发生的人员伤亡事件，由乙方负责妥善处理。如系因乙方原因造成人员伤亡的，乙方应当负责赔偿并承担相应的法律责任。</w:t>
      </w:r>
    </w:p>
    <w:p w14:paraId="31F79D9F">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1.2乙方施工或者经营过程中造成甲方设施设备损坏，乙方负责在规定时间内修复，维修工作需经甲方验收合格。如由甲方维修，由此产生的相关费用由乙方负责，相关费用甲方可从乙方缴纳的履约保证金中扣除。</w:t>
      </w:r>
    </w:p>
    <w:p w14:paraId="37B226B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1.3乙方施工造成甲方设备丢失的，由乙方负责在规定时间内赔偿，赔偿费包含设备采购价、安装费、人工费、运输费用等。</w:t>
      </w:r>
    </w:p>
    <w:p w14:paraId="739396B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乙方需保证施工质量标准，确保人员、设备及地铁运营安全。如乙方发生违反本协议约定的情形，甲方将有权对乙方采取相应处理措施。另外，若乙方违反本协议发生安全责任事故或治安、刑事案件的，由乙方承担相应的民事、刑事及经济赔偿责任。</w:t>
      </w:r>
    </w:p>
    <w:p w14:paraId="48F9C3A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3.乙方因未履行消防安全责任，发生消防安全事故，造成甲方损失的，应承担相应的违约责任并赔偿甲方受到的损失。</w:t>
      </w:r>
    </w:p>
    <w:p w14:paraId="42C5D63A">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乙方不接受甲方的检查或不对甲方签发的各类隐患整改通知书进行签收或不按隐患整改通知书的要求进行整改的，甲方有权对乙方的不符合安全管理的行为，按法律法规及甲方相关规定进行处罚，直至终止租赁合同。</w:t>
      </w:r>
    </w:p>
    <w:p w14:paraId="3E606F3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5.如乙方违反本协议规定，甲方有权要求乙方限期整改，乙方应按要求完成整改工作；如乙方未能在限定的期限内按照要求完成整改，甲方将保留对乙方采取停业整改以及其他必要措施的权力。</w:t>
      </w:r>
    </w:p>
    <w:p w14:paraId="41362410">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八、</w:t>
      </w:r>
      <w:r>
        <w:rPr>
          <w:rFonts w:asciiTheme="minorEastAsia" w:hAnsiTheme="minorEastAsia"/>
          <w:b/>
          <w:sz w:val="24"/>
          <w:szCs w:val="24"/>
        </w:rPr>
        <w:t>其它事项说明</w:t>
      </w:r>
    </w:p>
    <w:p w14:paraId="774536CA">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1.本协议作为租赁合同的补充协议，与租赁合同具有同等法律效力。原合同未予变更的，仍按租赁合同约定执行。</w:t>
      </w:r>
    </w:p>
    <w:p w14:paraId="609EA34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 本协议未尽之事项，依据国家和贵州省、贵阳市的有关法律、法规处理，法律法规未作明确规定的，可由双方协商处理解决。</w:t>
      </w:r>
    </w:p>
    <w:p w14:paraId="6FA02980">
      <w:pPr>
        <w:spacing w:line="440" w:lineRule="exact"/>
        <w:rPr>
          <w:rFonts w:asciiTheme="minorEastAsia" w:hAnsiTheme="minorEastAsia"/>
          <w:sz w:val="24"/>
          <w:szCs w:val="24"/>
        </w:rPr>
      </w:pPr>
    </w:p>
    <w:p w14:paraId="357025D8">
      <w:pPr>
        <w:spacing w:line="440" w:lineRule="exact"/>
        <w:rPr>
          <w:rFonts w:hint="eastAsia" w:asciiTheme="minorEastAsia" w:hAnsiTheme="minorEastAsia"/>
          <w:b/>
          <w:bCs/>
          <w:sz w:val="24"/>
          <w:szCs w:val="24"/>
        </w:rPr>
      </w:pPr>
    </w:p>
    <w:p w14:paraId="23E80078">
      <w:pPr>
        <w:spacing w:line="440" w:lineRule="exact"/>
        <w:rPr>
          <w:rFonts w:asciiTheme="minorEastAsia" w:hAnsiTheme="minorEastAsia"/>
          <w:sz w:val="24"/>
          <w:szCs w:val="24"/>
        </w:rPr>
      </w:pPr>
    </w:p>
    <w:p w14:paraId="23024448">
      <w:pPr>
        <w:spacing w:line="440" w:lineRule="exact"/>
        <w:ind w:firstLine="480" w:firstLineChars="200"/>
        <w:rPr>
          <w:rFonts w:asciiTheme="minorEastAsia" w:hAnsiTheme="minorEastAsia"/>
          <w:sz w:val="24"/>
          <w:szCs w:val="24"/>
        </w:rPr>
      </w:pPr>
    </w:p>
    <w:p w14:paraId="3565AABB">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甲方（盖章）：</w:t>
      </w:r>
      <w:r>
        <w:rPr>
          <w:rFonts w:asciiTheme="minorEastAsia" w:hAnsiTheme="minorEastAsia"/>
          <w:sz w:val="24"/>
          <w:szCs w:val="24"/>
        </w:rPr>
        <w:t xml:space="preserve">                          </w:t>
      </w:r>
      <w:r>
        <w:rPr>
          <w:rFonts w:hint="eastAsia" w:asciiTheme="minorEastAsia" w:hAnsiTheme="minorEastAsia"/>
          <w:sz w:val="24"/>
          <w:szCs w:val="24"/>
        </w:rPr>
        <w:t>乙方</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指印</w:t>
      </w:r>
      <w:r>
        <w:rPr>
          <w:rFonts w:hint="eastAsia" w:asciiTheme="minorEastAsia" w:hAnsiTheme="minorEastAsia"/>
          <w:sz w:val="24"/>
          <w:szCs w:val="24"/>
          <w:lang w:eastAsia="zh-CN"/>
        </w:rPr>
        <w:t>）</w:t>
      </w:r>
      <w:r>
        <w:rPr>
          <w:rFonts w:hint="eastAsia" w:asciiTheme="minorEastAsia" w:hAnsiTheme="minorEastAsia"/>
          <w:sz w:val="24"/>
          <w:szCs w:val="24"/>
        </w:rPr>
        <w:t>：</w:t>
      </w:r>
    </w:p>
    <w:p w14:paraId="66B9B522">
      <w:pPr>
        <w:spacing w:line="440" w:lineRule="exact"/>
        <w:ind w:firstLine="480" w:firstLineChars="200"/>
        <w:rPr>
          <w:rFonts w:asciiTheme="minorEastAsia" w:hAnsiTheme="minorEastAsia"/>
          <w:sz w:val="24"/>
          <w:szCs w:val="24"/>
        </w:rPr>
      </w:pPr>
    </w:p>
    <w:p w14:paraId="2BD628DB">
      <w:pPr>
        <w:spacing w:line="440" w:lineRule="exact"/>
        <w:ind w:firstLine="480" w:firstLineChars="200"/>
        <w:rPr>
          <w:rFonts w:asciiTheme="minorEastAsia" w:hAnsiTheme="minorEastAsia"/>
          <w:sz w:val="24"/>
          <w:szCs w:val="24"/>
        </w:rPr>
      </w:pPr>
    </w:p>
    <w:p w14:paraId="7DAFF6CE">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法定代表人（负责人）                  </w:t>
      </w:r>
      <w:r>
        <w:rPr>
          <w:rFonts w:hint="eastAsia" w:asciiTheme="minorEastAsia" w:hAnsiTheme="minorEastAsia"/>
          <w:sz w:val="24"/>
          <w:szCs w:val="24"/>
          <w:lang w:val="en-US" w:eastAsia="zh-CN"/>
        </w:rPr>
        <w:t xml:space="preserve">  身份证号码：</w:t>
      </w:r>
    </w:p>
    <w:p w14:paraId="66A2AA2C">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或</w:t>
      </w:r>
      <w:r>
        <w:rPr>
          <w:rFonts w:hint="eastAsia" w:asciiTheme="minorEastAsia" w:hAnsiTheme="minorEastAsia"/>
          <w:sz w:val="24"/>
          <w:szCs w:val="24"/>
          <w:lang w:val="en-US" w:eastAsia="zh-CN"/>
        </w:rPr>
        <w:t>委托代理人</w:t>
      </w:r>
      <w:r>
        <w:rPr>
          <w:rFonts w:hint="eastAsia" w:asciiTheme="minorEastAsia" w:hAnsiTheme="minorEastAsia"/>
          <w:sz w:val="24"/>
          <w:szCs w:val="24"/>
        </w:rPr>
        <w:t>：</w:t>
      </w:r>
    </w:p>
    <w:p w14:paraId="15F10A3D">
      <w:pPr>
        <w:spacing w:line="440" w:lineRule="exact"/>
        <w:ind w:firstLine="480" w:firstLineChars="200"/>
        <w:rPr>
          <w:rFonts w:asciiTheme="minorEastAsia" w:hAnsiTheme="minorEastAsia"/>
          <w:sz w:val="24"/>
          <w:szCs w:val="24"/>
        </w:rPr>
      </w:pPr>
    </w:p>
    <w:p w14:paraId="7ABDCE3B">
      <w:pPr>
        <w:pStyle w:val="2"/>
        <w:rPr>
          <w:rFonts w:asciiTheme="minorEastAsia" w:hAnsiTheme="minorEastAsia"/>
          <w:sz w:val="24"/>
          <w:szCs w:val="24"/>
        </w:rPr>
      </w:pPr>
    </w:p>
    <w:p w14:paraId="3D354298">
      <w:pPr>
        <w:pStyle w:val="2"/>
        <w:rPr>
          <w:rFonts w:asciiTheme="minorEastAsia" w:hAnsiTheme="minorEastAsia"/>
          <w:sz w:val="24"/>
          <w:szCs w:val="24"/>
        </w:rPr>
      </w:pPr>
    </w:p>
    <w:p w14:paraId="18EC1C91">
      <w:pPr>
        <w:pStyle w:val="2"/>
        <w:rPr>
          <w:rFonts w:asciiTheme="minorEastAsia" w:hAnsiTheme="minorEastAsia"/>
          <w:sz w:val="24"/>
          <w:szCs w:val="24"/>
        </w:rPr>
      </w:pPr>
    </w:p>
    <w:p w14:paraId="67EB43FC">
      <w:pPr>
        <w:spacing w:line="440" w:lineRule="exact"/>
        <w:jc w:val="righ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签订地点：贵阳市</w:t>
      </w:r>
    </w:p>
    <w:p w14:paraId="38A63D16">
      <w:pPr>
        <w:spacing w:line="440" w:lineRule="exact"/>
        <w:jc w:val="right"/>
        <w:rPr>
          <w:rFonts w:asciiTheme="minorEastAsia" w:hAnsiTheme="minorEastAsia"/>
          <w:sz w:val="24"/>
          <w:szCs w:val="24"/>
        </w:rPr>
      </w:pPr>
      <w:r>
        <w:rPr>
          <w:rFonts w:hint="eastAsia" w:asciiTheme="minorEastAsia" w:hAnsiTheme="minorEastAsia"/>
          <w:sz w:val="24"/>
          <w:szCs w:val="24"/>
          <w:lang w:val="en-US" w:eastAsia="zh-CN"/>
        </w:rPr>
        <w:t>签订日期：2024</w:t>
      </w:r>
      <w:r>
        <w:rPr>
          <w:rFonts w:hint="eastAsia" w:asciiTheme="minorEastAsia" w:hAnsiTheme="minorEastAsia"/>
          <w:sz w:val="24"/>
          <w:szCs w:val="24"/>
        </w:rPr>
        <w:t>年</w:t>
      </w:r>
      <w:r>
        <w:rPr>
          <w:rFonts w:asciiTheme="minorEastAsia" w:hAnsiTheme="minorEastAsia"/>
          <w:sz w:val="24"/>
          <w:szCs w:val="24"/>
        </w:rPr>
        <w:t xml:space="preserve">  </w:t>
      </w:r>
      <w:r>
        <w:rPr>
          <w:rFonts w:hint="eastAsia" w:asciiTheme="minorEastAsia" w:hAnsiTheme="minorEastAsia"/>
          <w:sz w:val="24"/>
          <w:szCs w:val="24"/>
        </w:rPr>
        <w:t>月</w:t>
      </w:r>
      <w:r>
        <w:rPr>
          <w:rFonts w:asciiTheme="minorEastAsia" w:hAnsiTheme="minorEastAsia"/>
          <w:sz w:val="24"/>
          <w:szCs w:val="24"/>
        </w:rPr>
        <w:t xml:space="preserve">  </w:t>
      </w:r>
      <w:r>
        <w:rPr>
          <w:rFonts w:hint="eastAsia" w:asciiTheme="minorEastAsia" w:hAnsiTheme="minorEastAsia"/>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330459"/>
    </w:sdtPr>
    <w:sdtContent>
      <w:sdt>
        <w:sdtPr>
          <w:id w:val="1728636285"/>
        </w:sdtPr>
        <w:sdtContent>
          <w:p w14:paraId="2D7E495A">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36975BA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jgxMmMxZTJkMDNmNjdlN2IwMjIxMWJmNzY1MDYifQ=="/>
  </w:docVars>
  <w:rsids>
    <w:rsidRoot w:val="00450A53"/>
    <w:rsid w:val="00006A6F"/>
    <w:rsid w:val="00014DC7"/>
    <w:rsid w:val="00041D2A"/>
    <w:rsid w:val="00045237"/>
    <w:rsid w:val="00051653"/>
    <w:rsid w:val="000644CB"/>
    <w:rsid w:val="00075B49"/>
    <w:rsid w:val="0007719D"/>
    <w:rsid w:val="000A0C7A"/>
    <w:rsid w:val="000A4F81"/>
    <w:rsid w:val="000C2A19"/>
    <w:rsid w:val="000C2FE9"/>
    <w:rsid w:val="000C332E"/>
    <w:rsid w:val="000C4E33"/>
    <w:rsid w:val="000F7056"/>
    <w:rsid w:val="00107726"/>
    <w:rsid w:val="00113C8F"/>
    <w:rsid w:val="00147948"/>
    <w:rsid w:val="00156219"/>
    <w:rsid w:val="00173FC2"/>
    <w:rsid w:val="0017685D"/>
    <w:rsid w:val="00183E04"/>
    <w:rsid w:val="00184664"/>
    <w:rsid w:val="001932EA"/>
    <w:rsid w:val="001A0B71"/>
    <w:rsid w:val="001B0A78"/>
    <w:rsid w:val="001C5029"/>
    <w:rsid w:val="001D2B19"/>
    <w:rsid w:val="001F3EBC"/>
    <w:rsid w:val="00210902"/>
    <w:rsid w:val="00211AE2"/>
    <w:rsid w:val="00212722"/>
    <w:rsid w:val="00232269"/>
    <w:rsid w:val="00233165"/>
    <w:rsid w:val="00263681"/>
    <w:rsid w:val="00294317"/>
    <w:rsid w:val="002952BF"/>
    <w:rsid w:val="002A71B8"/>
    <w:rsid w:val="002C6951"/>
    <w:rsid w:val="003051EC"/>
    <w:rsid w:val="00326F4D"/>
    <w:rsid w:val="00336B70"/>
    <w:rsid w:val="003615C2"/>
    <w:rsid w:val="00362546"/>
    <w:rsid w:val="00362ECA"/>
    <w:rsid w:val="003808D2"/>
    <w:rsid w:val="00385F2D"/>
    <w:rsid w:val="003863DD"/>
    <w:rsid w:val="003A5D4A"/>
    <w:rsid w:val="003C1426"/>
    <w:rsid w:val="003C2274"/>
    <w:rsid w:val="003D3DDC"/>
    <w:rsid w:val="003E2403"/>
    <w:rsid w:val="003F7EAA"/>
    <w:rsid w:val="00402B50"/>
    <w:rsid w:val="0041572A"/>
    <w:rsid w:val="00450A53"/>
    <w:rsid w:val="00467A4B"/>
    <w:rsid w:val="00467B0D"/>
    <w:rsid w:val="004753BE"/>
    <w:rsid w:val="004825DC"/>
    <w:rsid w:val="004B0D1D"/>
    <w:rsid w:val="004B76F4"/>
    <w:rsid w:val="004C1BCD"/>
    <w:rsid w:val="004D46D0"/>
    <w:rsid w:val="00502C90"/>
    <w:rsid w:val="00527045"/>
    <w:rsid w:val="005307F1"/>
    <w:rsid w:val="005428A4"/>
    <w:rsid w:val="0054685C"/>
    <w:rsid w:val="005574FC"/>
    <w:rsid w:val="00576E2D"/>
    <w:rsid w:val="00592E6C"/>
    <w:rsid w:val="00594B74"/>
    <w:rsid w:val="00596EF7"/>
    <w:rsid w:val="005C5700"/>
    <w:rsid w:val="005D6316"/>
    <w:rsid w:val="005E52E0"/>
    <w:rsid w:val="005F02F9"/>
    <w:rsid w:val="005F1313"/>
    <w:rsid w:val="00611C25"/>
    <w:rsid w:val="00616BEB"/>
    <w:rsid w:val="0063705A"/>
    <w:rsid w:val="00644139"/>
    <w:rsid w:val="00646243"/>
    <w:rsid w:val="00647A47"/>
    <w:rsid w:val="00665BAD"/>
    <w:rsid w:val="006C231B"/>
    <w:rsid w:val="00706F0A"/>
    <w:rsid w:val="007125AA"/>
    <w:rsid w:val="0073625D"/>
    <w:rsid w:val="0074246C"/>
    <w:rsid w:val="007575DB"/>
    <w:rsid w:val="00761871"/>
    <w:rsid w:val="007618AC"/>
    <w:rsid w:val="00797109"/>
    <w:rsid w:val="007A42B7"/>
    <w:rsid w:val="007B0D3D"/>
    <w:rsid w:val="007B0DAD"/>
    <w:rsid w:val="007B4DF6"/>
    <w:rsid w:val="007C2FBE"/>
    <w:rsid w:val="007D32DA"/>
    <w:rsid w:val="007E0813"/>
    <w:rsid w:val="007E0F1F"/>
    <w:rsid w:val="007F0819"/>
    <w:rsid w:val="007F6D90"/>
    <w:rsid w:val="008064D3"/>
    <w:rsid w:val="00832B19"/>
    <w:rsid w:val="0084552E"/>
    <w:rsid w:val="00864D33"/>
    <w:rsid w:val="008810D5"/>
    <w:rsid w:val="0089446D"/>
    <w:rsid w:val="0089499B"/>
    <w:rsid w:val="008A6EAA"/>
    <w:rsid w:val="008C2331"/>
    <w:rsid w:val="008C2B4C"/>
    <w:rsid w:val="008D52AA"/>
    <w:rsid w:val="008E144C"/>
    <w:rsid w:val="008F566F"/>
    <w:rsid w:val="0090330E"/>
    <w:rsid w:val="0091408B"/>
    <w:rsid w:val="00921DB5"/>
    <w:rsid w:val="00946535"/>
    <w:rsid w:val="00971A71"/>
    <w:rsid w:val="0097262D"/>
    <w:rsid w:val="0097333E"/>
    <w:rsid w:val="009836F7"/>
    <w:rsid w:val="00986ABB"/>
    <w:rsid w:val="00991E44"/>
    <w:rsid w:val="009E388C"/>
    <w:rsid w:val="00A21C4E"/>
    <w:rsid w:val="00A26872"/>
    <w:rsid w:val="00A3039C"/>
    <w:rsid w:val="00A328EB"/>
    <w:rsid w:val="00A349CA"/>
    <w:rsid w:val="00A4735E"/>
    <w:rsid w:val="00A66425"/>
    <w:rsid w:val="00A67494"/>
    <w:rsid w:val="00AB34EC"/>
    <w:rsid w:val="00AC77E7"/>
    <w:rsid w:val="00AD31DA"/>
    <w:rsid w:val="00AE1D77"/>
    <w:rsid w:val="00B074A9"/>
    <w:rsid w:val="00B31202"/>
    <w:rsid w:val="00B31FD3"/>
    <w:rsid w:val="00B610FB"/>
    <w:rsid w:val="00B82A9B"/>
    <w:rsid w:val="00BB1C72"/>
    <w:rsid w:val="00BB2181"/>
    <w:rsid w:val="00BB4DB3"/>
    <w:rsid w:val="00BB6C54"/>
    <w:rsid w:val="00BF102A"/>
    <w:rsid w:val="00C14CB2"/>
    <w:rsid w:val="00C20BAD"/>
    <w:rsid w:val="00C33771"/>
    <w:rsid w:val="00C42226"/>
    <w:rsid w:val="00C53BD0"/>
    <w:rsid w:val="00C75E3B"/>
    <w:rsid w:val="00C9699D"/>
    <w:rsid w:val="00CA3052"/>
    <w:rsid w:val="00CC56B4"/>
    <w:rsid w:val="00CD4D4E"/>
    <w:rsid w:val="00CF1EFE"/>
    <w:rsid w:val="00CF3DFF"/>
    <w:rsid w:val="00D0760F"/>
    <w:rsid w:val="00D11B02"/>
    <w:rsid w:val="00D326BE"/>
    <w:rsid w:val="00D34102"/>
    <w:rsid w:val="00D46CFC"/>
    <w:rsid w:val="00D52C81"/>
    <w:rsid w:val="00D56925"/>
    <w:rsid w:val="00DA638E"/>
    <w:rsid w:val="00DE1012"/>
    <w:rsid w:val="00E0122C"/>
    <w:rsid w:val="00E0322B"/>
    <w:rsid w:val="00E219C8"/>
    <w:rsid w:val="00E41DA2"/>
    <w:rsid w:val="00E44181"/>
    <w:rsid w:val="00E51BFF"/>
    <w:rsid w:val="00E5412C"/>
    <w:rsid w:val="00E63235"/>
    <w:rsid w:val="00E87E28"/>
    <w:rsid w:val="00E92382"/>
    <w:rsid w:val="00EA414D"/>
    <w:rsid w:val="00EC7450"/>
    <w:rsid w:val="00EE3BB5"/>
    <w:rsid w:val="00EE48C3"/>
    <w:rsid w:val="00F02F6B"/>
    <w:rsid w:val="00F211D3"/>
    <w:rsid w:val="00F24321"/>
    <w:rsid w:val="00F32C00"/>
    <w:rsid w:val="00F37184"/>
    <w:rsid w:val="00F37710"/>
    <w:rsid w:val="00F53F11"/>
    <w:rsid w:val="00F57778"/>
    <w:rsid w:val="00F633A6"/>
    <w:rsid w:val="00F72DCB"/>
    <w:rsid w:val="00F769B8"/>
    <w:rsid w:val="00FC596D"/>
    <w:rsid w:val="00FC705C"/>
    <w:rsid w:val="00FE0BC3"/>
    <w:rsid w:val="00FF7BB2"/>
    <w:rsid w:val="016043AA"/>
    <w:rsid w:val="01C0309B"/>
    <w:rsid w:val="028731E6"/>
    <w:rsid w:val="02AD7AC3"/>
    <w:rsid w:val="02D32AB4"/>
    <w:rsid w:val="02E8451B"/>
    <w:rsid w:val="03064B42"/>
    <w:rsid w:val="038F71C9"/>
    <w:rsid w:val="04956A61"/>
    <w:rsid w:val="04BD1B14"/>
    <w:rsid w:val="04FC263C"/>
    <w:rsid w:val="051117CD"/>
    <w:rsid w:val="06141C07"/>
    <w:rsid w:val="06802B56"/>
    <w:rsid w:val="07C5140B"/>
    <w:rsid w:val="07F2719E"/>
    <w:rsid w:val="08253C58"/>
    <w:rsid w:val="08836BD0"/>
    <w:rsid w:val="08F71A98"/>
    <w:rsid w:val="09510A7C"/>
    <w:rsid w:val="09F064E7"/>
    <w:rsid w:val="0C1B2086"/>
    <w:rsid w:val="0CA830A9"/>
    <w:rsid w:val="0CCD48BE"/>
    <w:rsid w:val="0CE73BD2"/>
    <w:rsid w:val="0D9A6E96"/>
    <w:rsid w:val="0E3015A8"/>
    <w:rsid w:val="0E883192"/>
    <w:rsid w:val="0ED85EC8"/>
    <w:rsid w:val="0F953DB9"/>
    <w:rsid w:val="0FF56606"/>
    <w:rsid w:val="10645539"/>
    <w:rsid w:val="108D62CE"/>
    <w:rsid w:val="109202F8"/>
    <w:rsid w:val="10D66437"/>
    <w:rsid w:val="10F468BD"/>
    <w:rsid w:val="10FE14EA"/>
    <w:rsid w:val="11DB54D0"/>
    <w:rsid w:val="12AD1419"/>
    <w:rsid w:val="131119A8"/>
    <w:rsid w:val="137B1518"/>
    <w:rsid w:val="143811B7"/>
    <w:rsid w:val="146A5814"/>
    <w:rsid w:val="14C52A4A"/>
    <w:rsid w:val="14CD7B51"/>
    <w:rsid w:val="156A011D"/>
    <w:rsid w:val="15B449E3"/>
    <w:rsid w:val="162D4D4B"/>
    <w:rsid w:val="16922E00"/>
    <w:rsid w:val="169F72CB"/>
    <w:rsid w:val="16B014D8"/>
    <w:rsid w:val="170610F8"/>
    <w:rsid w:val="17414D92"/>
    <w:rsid w:val="17AD77C6"/>
    <w:rsid w:val="19A277FE"/>
    <w:rsid w:val="1A1104E0"/>
    <w:rsid w:val="1A3441CE"/>
    <w:rsid w:val="1BD9502D"/>
    <w:rsid w:val="1CB02232"/>
    <w:rsid w:val="1D4E4DEC"/>
    <w:rsid w:val="1D81772B"/>
    <w:rsid w:val="1ED41ADC"/>
    <w:rsid w:val="1F2C36C6"/>
    <w:rsid w:val="1F374545"/>
    <w:rsid w:val="1FBC4A4A"/>
    <w:rsid w:val="201A79C2"/>
    <w:rsid w:val="20286583"/>
    <w:rsid w:val="20753452"/>
    <w:rsid w:val="2096173F"/>
    <w:rsid w:val="20A33847"/>
    <w:rsid w:val="20A57BD4"/>
    <w:rsid w:val="211A411E"/>
    <w:rsid w:val="22237002"/>
    <w:rsid w:val="22350AE4"/>
    <w:rsid w:val="22B934C3"/>
    <w:rsid w:val="22C45322"/>
    <w:rsid w:val="23D26F32"/>
    <w:rsid w:val="2480073C"/>
    <w:rsid w:val="248144B4"/>
    <w:rsid w:val="24B91563"/>
    <w:rsid w:val="24C06D8A"/>
    <w:rsid w:val="25257535"/>
    <w:rsid w:val="254A0D4A"/>
    <w:rsid w:val="25706A02"/>
    <w:rsid w:val="259D7559"/>
    <w:rsid w:val="260D5FFF"/>
    <w:rsid w:val="26404627"/>
    <w:rsid w:val="2685028B"/>
    <w:rsid w:val="26F708A6"/>
    <w:rsid w:val="27280C17"/>
    <w:rsid w:val="27763FC6"/>
    <w:rsid w:val="28033B5E"/>
    <w:rsid w:val="285E0D94"/>
    <w:rsid w:val="288307FB"/>
    <w:rsid w:val="28CC03F4"/>
    <w:rsid w:val="28FB4835"/>
    <w:rsid w:val="29C73EC4"/>
    <w:rsid w:val="2A7228D5"/>
    <w:rsid w:val="2A944F41"/>
    <w:rsid w:val="2B1E2A5D"/>
    <w:rsid w:val="2B634913"/>
    <w:rsid w:val="2B746E23"/>
    <w:rsid w:val="2BFA7026"/>
    <w:rsid w:val="2CF241A1"/>
    <w:rsid w:val="2DCC67A0"/>
    <w:rsid w:val="2DD92C6B"/>
    <w:rsid w:val="2DDE753D"/>
    <w:rsid w:val="2E8250B1"/>
    <w:rsid w:val="2F4942D4"/>
    <w:rsid w:val="2F4D2E8C"/>
    <w:rsid w:val="2FE17A6E"/>
    <w:rsid w:val="2FF7387C"/>
    <w:rsid w:val="30183F1E"/>
    <w:rsid w:val="30340B5C"/>
    <w:rsid w:val="307F3F9D"/>
    <w:rsid w:val="3095556F"/>
    <w:rsid w:val="30A71912"/>
    <w:rsid w:val="30E12562"/>
    <w:rsid w:val="30F5198A"/>
    <w:rsid w:val="31132938"/>
    <w:rsid w:val="311A5A74"/>
    <w:rsid w:val="314174A5"/>
    <w:rsid w:val="31440D43"/>
    <w:rsid w:val="31A33CBC"/>
    <w:rsid w:val="31BC4D7D"/>
    <w:rsid w:val="327F02F1"/>
    <w:rsid w:val="32DF2AA9"/>
    <w:rsid w:val="32F50547"/>
    <w:rsid w:val="332826CA"/>
    <w:rsid w:val="337A6C9E"/>
    <w:rsid w:val="33F97BC3"/>
    <w:rsid w:val="340A0022"/>
    <w:rsid w:val="35507CB7"/>
    <w:rsid w:val="3569521C"/>
    <w:rsid w:val="359A79D6"/>
    <w:rsid w:val="35D1493C"/>
    <w:rsid w:val="36343134"/>
    <w:rsid w:val="36C24BE4"/>
    <w:rsid w:val="36D719E6"/>
    <w:rsid w:val="36D8258B"/>
    <w:rsid w:val="37133692"/>
    <w:rsid w:val="3790005F"/>
    <w:rsid w:val="37DC1CD5"/>
    <w:rsid w:val="37ED7A3F"/>
    <w:rsid w:val="38CA7D80"/>
    <w:rsid w:val="390414E4"/>
    <w:rsid w:val="393D2C48"/>
    <w:rsid w:val="397D3044"/>
    <w:rsid w:val="39A91B4C"/>
    <w:rsid w:val="3A267238"/>
    <w:rsid w:val="3A816B64"/>
    <w:rsid w:val="3AA0523C"/>
    <w:rsid w:val="3AAF722D"/>
    <w:rsid w:val="3B0D6A38"/>
    <w:rsid w:val="3C3C0F95"/>
    <w:rsid w:val="3CF03B2D"/>
    <w:rsid w:val="3D74650C"/>
    <w:rsid w:val="3DAC5CA6"/>
    <w:rsid w:val="3DB334D8"/>
    <w:rsid w:val="3E78202C"/>
    <w:rsid w:val="3E95498C"/>
    <w:rsid w:val="3F746C97"/>
    <w:rsid w:val="3FA973E9"/>
    <w:rsid w:val="401B47F7"/>
    <w:rsid w:val="40381A73"/>
    <w:rsid w:val="40490124"/>
    <w:rsid w:val="406B009A"/>
    <w:rsid w:val="409018AF"/>
    <w:rsid w:val="40D519B8"/>
    <w:rsid w:val="416C40CA"/>
    <w:rsid w:val="417A3F4D"/>
    <w:rsid w:val="41DB1250"/>
    <w:rsid w:val="42097B6B"/>
    <w:rsid w:val="429513FF"/>
    <w:rsid w:val="42B86E9B"/>
    <w:rsid w:val="42FE0D52"/>
    <w:rsid w:val="43923B90"/>
    <w:rsid w:val="439E42E3"/>
    <w:rsid w:val="44095C00"/>
    <w:rsid w:val="4436276D"/>
    <w:rsid w:val="456D5C85"/>
    <w:rsid w:val="45941E41"/>
    <w:rsid w:val="459E0A1B"/>
    <w:rsid w:val="45B918A8"/>
    <w:rsid w:val="45F34DBA"/>
    <w:rsid w:val="46054AED"/>
    <w:rsid w:val="4677357B"/>
    <w:rsid w:val="47A345BE"/>
    <w:rsid w:val="48141018"/>
    <w:rsid w:val="490C55C7"/>
    <w:rsid w:val="49415E3C"/>
    <w:rsid w:val="499A18F3"/>
    <w:rsid w:val="49E62540"/>
    <w:rsid w:val="4A6718D3"/>
    <w:rsid w:val="4A7A6B84"/>
    <w:rsid w:val="4BEE392E"/>
    <w:rsid w:val="4BF21670"/>
    <w:rsid w:val="4C2537F3"/>
    <w:rsid w:val="4CD55219"/>
    <w:rsid w:val="4CFA6A2E"/>
    <w:rsid w:val="4D090A1F"/>
    <w:rsid w:val="4D16138E"/>
    <w:rsid w:val="4D213DC2"/>
    <w:rsid w:val="4D761E2D"/>
    <w:rsid w:val="4D87403A"/>
    <w:rsid w:val="4D9A3D6D"/>
    <w:rsid w:val="4E181EEA"/>
    <w:rsid w:val="4F3D70A6"/>
    <w:rsid w:val="4F5B577E"/>
    <w:rsid w:val="4FC275AB"/>
    <w:rsid w:val="4FD0383C"/>
    <w:rsid w:val="4FDD097A"/>
    <w:rsid w:val="4FDE26F6"/>
    <w:rsid w:val="502A762A"/>
    <w:rsid w:val="509E0227"/>
    <w:rsid w:val="512E4EF8"/>
    <w:rsid w:val="51714DE5"/>
    <w:rsid w:val="51A258E6"/>
    <w:rsid w:val="51FA74D0"/>
    <w:rsid w:val="520914C1"/>
    <w:rsid w:val="5239507C"/>
    <w:rsid w:val="527C7EE5"/>
    <w:rsid w:val="52B72CCB"/>
    <w:rsid w:val="53601370"/>
    <w:rsid w:val="53DB6E8D"/>
    <w:rsid w:val="541D74A6"/>
    <w:rsid w:val="54A159E1"/>
    <w:rsid w:val="54A51975"/>
    <w:rsid w:val="54DB27F5"/>
    <w:rsid w:val="54F621D1"/>
    <w:rsid w:val="55797ED7"/>
    <w:rsid w:val="557E5D22"/>
    <w:rsid w:val="55927AB9"/>
    <w:rsid w:val="560F2160"/>
    <w:rsid w:val="5621502B"/>
    <w:rsid w:val="56552F27"/>
    <w:rsid w:val="5656690F"/>
    <w:rsid w:val="566413BC"/>
    <w:rsid w:val="5674503C"/>
    <w:rsid w:val="5737262D"/>
    <w:rsid w:val="57697B01"/>
    <w:rsid w:val="57953D2D"/>
    <w:rsid w:val="5805055F"/>
    <w:rsid w:val="58156E12"/>
    <w:rsid w:val="58301FE5"/>
    <w:rsid w:val="58BF0B2C"/>
    <w:rsid w:val="598B6F27"/>
    <w:rsid w:val="59C53F20"/>
    <w:rsid w:val="59D800F7"/>
    <w:rsid w:val="5AF727FF"/>
    <w:rsid w:val="5B653C0C"/>
    <w:rsid w:val="5B767BC7"/>
    <w:rsid w:val="5BA858A7"/>
    <w:rsid w:val="5BA87F9D"/>
    <w:rsid w:val="5CD526CC"/>
    <w:rsid w:val="5D064F7B"/>
    <w:rsid w:val="5D1B0AF9"/>
    <w:rsid w:val="5D30024A"/>
    <w:rsid w:val="5D415631"/>
    <w:rsid w:val="5D8365CC"/>
    <w:rsid w:val="5E056FE1"/>
    <w:rsid w:val="5E164FAD"/>
    <w:rsid w:val="5E341674"/>
    <w:rsid w:val="5E4C2E61"/>
    <w:rsid w:val="5E5B4E53"/>
    <w:rsid w:val="5E6F4DA2"/>
    <w:rsid w:val="5F36141C"/>
    <w:rsid w:val="5F7F2DC3"/>
    <w:rsid w:val="5F9A19AB"/>
    <w:rsid w:val="603B318E"/>
    <w:rsid w:val="604E7AAF"/>
    <w:rsid w:val="60CE4002"/>
    <w:rsid w:val="612F7B97"/>
    <w:rsid w:val="615D7134"/>
    <w:rsid w:val="617D3332"/>
    <w:rsid w:val="61D94A0C"/>
    <w:rsid w:val="628C5F22"/>
    <w:rsid w:val="62A50D92"/>
    <w:rsid w:val="62A80882"/>
    <w:rsid w:val="63185A08"/>
    <w:rsid w:val="63260125"/>
    <w:rsid w:val="63B24364"/>
    <w:rsid w:val="63E37DC4"/>
    <w:rsid w:val="644D3B84"/>
    <w:rsid w:val="64520AA6"/>
    <w:rsid w:val="65363F24"/>
    <w:rsid w:val="655D5954"/>
    <w:rsid w:val="65735178"/>
    <w:rsid w:val="658B0713"/>
    <w:rsid w:val="667411A7"/>
    <w:rsid w:val="667A42E4"/>
    <w:rsid w:val="66DE2AC5"/>
    <w:rsid w:val="67A44560"/>
    <w:rsid w:val="68152516"/>
    <w:rsid w:val="68831B76"/>
    <w:rsid w:val="69772919"/>
    <w:rsid w:val="69931944"/>
    <w:rsid w:val="699D0A15"/>
    <w:rsid w:val="69CC30A8"/>
    <w:rsid w:val="6A486BD3"/>
    <w:rsid w:val="6BA8544F"/>
    <w:rsid w:val="6BC31486"/>
    <w:rsid w:val="6BC548A2"/>
    <w:rsid w:val="6C044D7B"/>
    <w:rsid w:val="6C0C59DE"/>
    <w:rsid w:val="6CA420BB"/>
    <w:rsid w:val="6D371181"/>
    <w:rsid w:val="6E041063"/>
    <w:rsid w:val="6E7004A6"/>
    <w:rsid w:val="6F2E3EBD"/>
    <w:rsid w:val="6F3B4F58"/>
    <w:rsid w:val="6FA0300D"/>
    <w:rsid w:val="6FAA79E8"/>
    <w:rsid w:val="70096E04"/>
    <w:rsid w:val="702F4391"/>
    <w:rsid w:val="70C77E24"/>
    <w:rsid w:val="71186BD3"/>
    <w:rsid w:val="712F655D"/>
    <w:rsid w:val="713752AB"/>
    <w:rsid w:val="714B0D57"/>
    <w:rsid w:val="71BA7C8A"/>
    <w:rsid w:val="71F118FE"/>
    <w:rsid w:val="729270E5"/>
    <w:rsid w:val="72F86CBC"/>
    <w:rsid w:val="73217FC1"/>
    <w:rsid w:val="73326672"/>
    <w:rsid w:val="7363682B"/>
    <w:rsid w:val="736B56E0"/>
    <w:rsid w:val="74077FDF"/>
    <w:rsid w:val="74BD640F"/>
    <w:rsid w:val="7591743F"/>
    <w:rsid w:val="75EA3234"/>
    <w:rsid w:val="77270C09"/>
    <w:rsid w:val="78120820"/>
    <w:rsid w:val="78CF4963"/>
    <w:rsid w:val="79295E21"/>
    <w:rsid w:val="7984574E"/>
    <w:rsid w:val="7A2A4653"/>
    <w:rsid w:val="7AAB2866"/>
    <w:rsid w:val="7B1D33C9"/>
    <w:rsid w:val="7B7B048A"/>
    <w:rsid w:val="7BD173E9"/>
    <w:rsid w:val="7D592A4D"/>
    <w:rsid w:val="7DBF4FA6"/>
    <w:rsid w:val="7DE61657"/>
    <w:rsid w:val="7ECC36C4"/>
    <w:rsid w:val="7F1430D0"/>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rPr>
      <w:rFonts w:eastAsia="仿宋_GB2312" w:cs="Times New Roman"/>
      <w:sz w:val="28"/>
      <w:szCs w:val="24"/>
    </w:rPr>
  </w:style>
  <w:style w:type="paragraph" w:styleId="4">
    <w:name w:val="Document Map"/>
    <w:basedOn w:val="1"/>
    <w:link w:val="21"/>
    <w:autoRedefine/>
    <w:unhideWhenUsed/>
    <w:qFormat/>
    <w:uiPriority w:val="99"/>
    <w:rPr>
      <w:rFonts w:ascii="宋体" w:eastAsia="宋体"/>
      <w:sz w:val="18"/>
      <w:szCs w:val="18"/>
    </w:rPr>
  </w:style>
  <w:style w:type="paragraph" w:styleId="5">
    <w:name w:val="annotation text"/>
    <w:basedOn w:val="1"/>
    <w:link w:val="18"/>
    <w:autoRedefine/>
    <w:unhideWhenUsed/>
    <w:qFormat/>
    <w:uiPriority w:val="99"/>
    <w:pPr>
      <w:jc w:val="left"/>
    </w:pPr>
  </w:style>
  <w:style w:type="paragraph" w:styleId="6">
    <w:name w:val="Balloon Text"/>
    <w:basedOn w:val="1"/>
    <w:link w:val="20"/>
    <w:autoRedefine/>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autoRedefine/>
    <w:unhideWhenUsed/>
    <w:qFormat/>
    <w:uiPriority w:val="99"/>
    <w:rPr>
      <w:b/>
      <w:bCs/>
    </w:rPr>
  </w:style>
  <w:style w:type="character" w:styleId="12">
    <w:name w:val="FollowedHyperlink"/>
    <w:basedOn w:val="11"/>
    <w:autoRedefine/>
    <w:semiHidden/>
    <w:unhideWhenUsed/>
    <w:qFormat/>
    <w:uiPriority w:val="99"/>
    <w:rPr>
      <w:rFonts w:hint="eastAsia" w:ascii="宋体" w:hAnsi="宋体" w:eastAsia="宋体" w:cs="宋体"/>
      <w:color w:val="3D3D3D"/>
      <w:u w:val="none"/>
    </w:rPr>
  </w:style>
  <w:style w:type="character" w:styleId="13">
    <w:name w:val="Hyperlink"/>
    <w:basedOn w:val="11"/>
    <w:autoRedefine/>
    <w:semiHidden/>
    <w:unhideWhenUsed/>
    <w:qFormat/>
    <w:uiPriority w:val="99"/>
    <w:rPr>
      <w:rFonts w:hint="eastAsia" w:ascii="宋体" w:hAnsi="宋体" w:eastAsia="宋体" w:cs="宋体"/>
      <w:color w:val="3D3D3D"/>
      <w:u w:val="none"/>
    </w:rPr>
  </w:style>
  <w:style w:type="character" w:styleId="14">
    <w:name w:val="annotation reference"/>
    <w:basedOn w:val="11"/>
    <w:autoRedefine/>
    <w:unhideWhenUsed/>
    <w:qFormat/>
    <w:uiPriority w:val="99"/>
    <w:rPr>
      <w:sz w:val="21"/>
      <w:szCs w:val="21"/>
    </w:rPr>
  </w:style>
  <w:style w:type="character" w:customStyle="1" w:styleId="15">
    <w:name w:val="页眉 字符"/>
    <w:basedOn w:val="11"/>
    <w:link w:val="8"/>
    <w:autoRedefine/>
    <w:semiHidden/>
    <w:qFormat/>
    <w:uiPriority w:val="99"/>
    <w:rPr>
      <w:sz w:val="18"/>
      <w:szCs w:val="18"/>
    </w:rPr>
  </w:style>
  <w:style w:type="character" w:customStyle="1" w:styleId="16">
    <w:name w:val="页脚 字符"/>
    <w:basedOn w:val="11"/>
    <w:link w:val="7"/>
    <w:autoRedefine/>
    <w:qFormat/>
    <w:uiPriority w:val="99"/>
    <w:rPr>
      <w:sz w:val="18"/>
      <w:szCs w:val="18"/>
    </w:rPr>
  </w:style>
  <w:style w:type="paragraph" w:customStyle="1" w:styleId="17">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8">
    <w:name w:val="批注文字 字符"/>
    <w:basedOn w:val="11"/>
    <w:link w:val="5"/>
    <w:autoRedefine/>
    <w:semiHidden/>
    <w:qFormat/>
    <w:uiPriority w:val="99"/>
  </w:style>
  <w:style w:type="character" w:customStyle="1" w:styleId="19">
    <w:name w:val="批注主题 字符"/>
    <w:basedOn w:val="18"/>
    <w:link w:val="9"/>
    <w:autoRedefine/>
    <w:semiHidden/>
    <w:qFormat/>
    <w:uiPriority w:val="99"/>
    <w:rPr>
      <w:b/>
      <w:bCs/>
    </w:rPr>
  </w:style>
  <w:style w:type="character" w:customStyle="1" w:styleId="20">
    <w:name w:val="批注框文本 字符"/>
    <w:basedOn w:val="11"/>
    <w:link w:val="6"/>
    <w:autoRedefine/>
    <w:semiHidden/>
    <w:qFormat/>
    <w:uiPriority w:val="99"/>
    <w:rPr>
      <w:sz w:val="18"/>
      <w:szCs w:val="18"/>
    </w:rPr>
  </w:style>
  <w:style w:type="character" w:customStyle="1" w:styleId="21">
    <w:name w:val="文档结构图 字符"/>
    <w:basedOn w:val="11"/>
    <w:link w:val="4"/>
    <w:autoRedefine/>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3E78-074E-4058-837F-28404AD775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644</Words>
  <Characters>652</Characters>
  <Lines>41</Lines>
  <Paragraphs>11</Paragraphs>
  <TotalTime>2</TotalTime>
  <ScaleCrop>false</ScaleCrop>
  <LinksUpToDate>false</LinksUpToDate>
  <CharactersWithSpaces>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2018-01-03T08:21:00Z</dcterms:created>
  <dc:creator>NNRT</dc:creator>
  <cp:lastModifiedBy>田园郡一般小鹅</cp:lastModifiedBy>
  <cp:lastPrinted>2019-07-25T02:34:00Z</cp:lastPrinted>
  <dcterms:modified xsi:type="dcterms:W3CDTF">2025-03-27T09:03:06Z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67CC571943CB4C128C3D3B7E86C30630_13</vt:lpwstr>
  </property>
  <property fmtid="{D5CDD505-2E9C-101B-9397-08002B2CF9AE}" pid="4" name="KSOTemplateDocerSaveRecord">
    <vt:lpwstr>eyJoZGlkIjoiMWY1NjgxMmMxZTJkMDNmNjdlN2IwMjIxMWJmNzY1MDYiLCJ1c2VySWQiOiI4MzI5NDU1NTIifQ==</vt:lpwstr>
  </property>
</Properties>
</file>